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F9D3" w14:textId="1ABD59C0" w:rsidR="005F169C" w:rsidRPr="00AF00AE" w:rsidRDefault="00E643D0" w:rsidP="005F169C">
      <w:pPr>
        <w:shd w:val="clear" w:color="auto" w:fill="000000" w:themeFill="text1"/>
        <w:jc w:val="center"/>
        <w:rPr>
          <w:b/>
          <w:bCs/>
          <w:color w:val="FFFF00"/>
          <w:sz w:val="40"/>
          <w:szCs w:val="40"/>
        </w:rPr>
      </w:pPr>
      <w:r>
        <w:rPr>
          <w:noProof/>
        </w:rPr>
        <w:drawing>
          <wp:anchor distT="0" distB="0" distL="114300" distR="114300" simplePos="0" relativeHeight="251658240" behindDoc="0" locked="0" layoutInCell="1" allowOverlap="1" wp14:anchorId="35D9E575" wp14:editId="77609A71">
            <wp:simplePos x="0" y="0"/>
            <wp:positionH relativeFrom="column">
              <wp:posOffset>7150100</wp:posOffset>
            </wp:positionH>
            <wp:positionV relativeFrom="page">
              <wp:posOffset>939800</wp:posOffset>
            </wp:positionV>
            <wp:extent cx="1339850" cy="809625"/>
            <wp:effectExtent l="0" t="0" r="0" b="9525"/>
            <wp:wrapSquare wrapText="bothSides"/>
            <wp:docPr id="701863681" name="Picture 1" descr="A yellow out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63681" name="Picture 1" descr="A yellow outline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8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69C">
        <w:rPr>
          <w:b/>
          <w:bCs/>
          <w:color w:val="FFFF00"/>
          <w:sz w:val="40"/>
          <w:szCs w:val="40"/>
        </w:rPr>
        <w:t>SECONDA</w:t>
      </w:r>
      <w:r w:rsidR="00FE6D04">
        <w:rPr>
          <w:b/>
          <w:bCs/>
          <w:color w:val="FFFF00"/>
          <w:sz w:val="40"/>
          <w:szCs w:val="40"/>
        </w:rPr>
        <w:t>R</w:t>
      </w:r>
      <w:r w:rsidR="005F169C">
        <w:rPr>
          <w:b/>
          <w:bCs/>
          <w:color w:val="FFFF00"/>
          <w:sz w:val="40"/>
          <w:szCs w:val="40"/>
        </w:rPr>
        <w:t xml:space="preserve">Y GOLF </w:t>
      </w:r>
      <w:r w:rsidR="005F169C" w:rsidRPr="00AF00AE">
        <w:rPr>
          <w:b/>
          <w:bCs/>
          <w:color w:val="FFFF00"/>
          <w:sz w:val="40"/>
          <w:szCs w:val="40"/>
        </w:rPr>
        <w:t>CONDITIONS OF PLAY</w:t>
      </w:r>
    </w:p>
    <w:p w14:paraId="3A5D4A78" w14:textId="0D8DFA05" w:rsidR="005F169C" w:rsidRDefault="005F169C" w:rsidP="005F169C"/>
    <w:p w14:paraId="0546FB3A" w14:textId="5B876C80" w:rsidR="005F169C" w:rsidRPr="005F169C" w:rsidRDefault="00923439" w:rsidP="005F169C">
      <w:pPr>
        <w:rPr>
          <w:b/>
          <w:bCs/>
        </w:rPr>
      </w:pPr>
      <w:r w:rsidRPr="005F169C">
        <w:rPr>
          <w:b/>
          <w:bCs/>
        </w:rPr>
        <w:t xml:space="preserve">ELIGIBILITY </w:t>
      </w:r>
      <w:r w:rsidR="005F169C" w:rsidRPr="005F169C">
        <w:rPr>
          <w:b/>
          <w:bCs/>
        </w:rPr>
        <w:t>:</w:t>
      </w:r>
    </w:p>
    <w:p w14:paraId="5938069C" w14:textId="7F6CF737" w:rsidR="00923439" w:rsidRDefault="00923439" w:rsidP="005F169C">
      <w:pPr>
        <w:pStyle w:val="ListParagraph"/>
        <w:numPr>
          <w:ilvl w:val="0"/>
          <w:numId w:val="1"/>
        </w:numPr>
      </w:pPr>
      <w:r>
        <w:t xml:space="preserve">Only bona fide </w:t>
      </w:r>
      <w:r w:rsidR="005F169C">
        <w:t xml:space="preserve">students from </w:t>
      </w:r>
      <w:r>
        <w:t xml:space="preserve">secondary academic institutions within Western Australia that offer a general education curriculum, with entry qualifications not related to sporting achievement, shall be eligible to compete. </w:t>
      </w:r>
    </w:p>
    <w:p w14:paraId="6E16ADD7" w14:textId="37D43873" w:rsidR="00923439" w:rsidRDefault="00923439" w:rsidP="00923439">
      <w:pPr>
        <w:pStyle w:val="ListParagraph"/>
        <w:numPr>
          <w:ilvl w:val="0"/>
          <w:numId w:val="1"/>
        </w:numPr>
      </w:pPr>
      <w:r>
        <w:t xml:space="preserve">Only full-time enrolled students </w:t>
      </w:r>
      <w:r w:rsidR="005F169C">
        <w:t xml:space="preserve">in years 7 – 12 </w:t>
      </w:r>
      <w:r>
        <w:t xml:space="preserve">may represent the school. </w:t>
      </w:r>
    </w:p>
    <w:p w14:paraId="511B8802" w14:textId="0AB0F457" w:rsidR="00923439" w:rsidRDefault="00923439" w:rsidP="00923439">
      <w:pPr>
        <w:pStyle w:val="ListParagraph"/>
        <w:numPr>
          <w:ilvl w:val="0"/>
          <w:numId w:val="1"/>
        </w:numPr>
      </w:pPr>
      <w:r>
        <w:t xml:space="preserve">It is essential that a teacher or official oversee their team and are in attendance </w:t>
      </w:r>
      <w:r w:rsidR="00B177AF">
        <w:t xml:space="preserve">all day </w:t>
      </w:r>
      <w:r>
        <w:t xml:space="preserve">on the event day. </w:t>
      </w:r>
    </w:p>
    <w:p w14:paraId="71EE2475" w14:textId="77777777" w:rsidR="00923439" w:rsidRDefault="00923439" w:rsidP="00923439">
      <w:pPr>
        <w:pStyle w:val="ListParagraph"/>
        <w:numPr>
          <w:ilvl w:val="0"/>
          <w:numId w:val="1"/>
        </w:numPr>
      </w:pPr>
      <w:r>
        <w:t xml:space="preserve">Teams will comprise of two or three competitors (there are no gender restrictions) from the same secondary school. </w:t>
      </w:r>
    </w:p>
    <w:p w14:paraId="34597867" w14:textId="28A52E3E" w:rsidR="005F169C" w:rsidRDefault="005F169C" w:rsidP="00923439">
      <w:pPr>
        <w:pStyle w:val="ListParagraph"/>
        <w:numPr>
          <w:ilvl w:val="0"/>
          <w:numId w:val="1"/>
        </w:numPr>
      </w:pPr>
      <w:r>
        <w:t>Teams may not be changed once the draw has been made public except in extraordinary circumstances</w:t>
      </w:r>
      <w:r w:rsidR="00C74A32">
        <w:t xml:space="preserve"> as determined by SSWA organisers.</w:t>
      </w:r>
    </w:p>
    <w:p w14:paraId="2BC1387B" w14:textId="6A93F39B" w:rsidR="00923439" w:rsidRDefault="00923439" w:rsidP="00923439">
      <w:pPr>
        <w:pStyle w:val="ListParagraph"/>
        <w:numPr>
          <w:ilvl w:val="0"/>
          <w:numId w:val="1"/>
        </w:numPr>
      </w:pPr>
      <w:r>
        <w:t>Individuals may participate and compete for the individual titles, however, are ineligible to compete for the School Teams</w:t>
      </w:r>
      <w:r w:rsidR="00B177AF">
        <w:t>’</w:t>
      </w:r>
      <w:r>
        <w:t xml:space="preserve"> Championship. </w:t>
      </w:r>
    </w:p>
    <w:p w14:paraId="22627F08" w14:textId="10F34633" w:rsidR="00923439" w:rsidRDefault="00923439" w:rsidP="005F169C">
      <w:pPr>
        <w:pStyle w:val="ListParagraph"/>
        <w:numPr>
          <w:ilvl w:val="0"/>
          <w:numId w:val="1"/>
        </w:numPr>
      </w:pPr>
      <w:r>
        <w:t xml:space="preserve">Players </w:t>
      </w:r>
      <w:r w:rsidR="00C74A32">
        <w:t>MUST</w:t>
      </w:r>
      <w:r>
        <w:t xml:space="preserve"> have a current official GA handicap to enter</w:t>
      </w:r>
      <w:r w:rsidR="00C74A32">
        <w:t xml:space="preserve"> with their Golflink number to be provided at the time of entry. </w:t>
      </w:r>
    </w:p>
    <w:p w14:paraId="44266C62" w14:textId="77777777" w:rsidR="00923439" w:rsidRPr="005F169C" w:rsidRDefault="00923439" w:rsidP="00923439">
      <w:pPr>
        <w:ind w:left="360"/>
        <w:rPr>
          <w:b/>
          <w:bCs/>
        </w:rPr>
      </w:pPr>
      <w:r w:rsidRPr="005F169C">
        <w:rPr>
          <w:b/>
          <w:bCs/>
        </w:rPr>
        <w:t xml:space="preserve">ENTRIES: </w:t>
      </w:r>
    </w:p>
    <w:p w14:paraId="195DED11" w14:textId="77777777" w:rsidR="00923439" w:rsidRDefault="00923439" w:rsidP="00923439">
      <w:pPr>
        <w:pStyle w:val="ListParagraph"/>
        <w:numPr>
          <w:ilvl w:val="0"/>
          <w:numId w:val="2"/>
        </w:numPr>
      </w:pPr>
      <w:r>
        <w:t xml:space="preserve">An entry fee of $45.00 per individual (GST inclusive) will be charged and must be paid at the time of online entry.  </w:t>
      </w:r>
    </w:p>
    <w:p w14:paraId="7CA5D9C4" w14:textId="7F42CED8" w:rsidR="00923439" w:rsidRDefault="00923439" w:rsidP="00923439">
      <w:pPr>
        <w:pStyle w:val="ListParagraph"/>
        <w:numPr>
          <w:ilvl w:val="0"/>
          <w:numId w:val="2"/>
        </w:numPr>
      </w:pPr>
      <w:r>
        <w:t>Entry fee includes</w:t>
      </w:r>
      <w:r w:rsidR="00C74A32">
        <w:t xml:space="preserve"> green fee and </w:t>
      </w:r>
      <w:r>
        <w:t xml:space="preserve">lunch for players </w:t>
      </w:r>
      <w:r w:rsidR="00B177AF">
        <w:t xml:space="preserve">at the conclusion of play </w:t>
      </w:r>
      <w:r>
        <w:t xml:space="preserve">(Please advise any dietary requirements on the entry form). </w:t>
      </w:r>
    </w:p>
    <w:p w14:paraId="767AF464" w14:textId="1CC5A27C" w:rsidR="00923439" w:rsidRDefault="00923439" w:rsidP="00923439">
      <w:pPr>
        <w:pStyle w:val="ListParagraph"/>
        <w:numPr>
          <w:ilvl w:val="0"/>
          <w:numId w:val="2"/>
        </w:numPr>
      </w:pPr>
      <w:r>
        <w:t xml:space="preserve">If entry numbers </w:t>
      </w:r>
      <w:r w:rsidR="00C74A32">
        <w:t xml:space="preserve">should </w:t>
      </w:r>
      <w:r>
        <w:t xml:space="preserve">reach capacity </w:t>
      </w:r>
      <w:r w:rsidR="00FE6D04">
        <w:t>(</w:t>
      </w:r>
      <w:r w:rsidR="00B177AF">
        <w:t>set at 108 players</w:t>
      </w:r>
      <w:r w:rsidR="00FE6D04">
        <w:t>)</w:t>
      </w:r>
      <w:r w:rsidR="00C74A32">
        <w:t xml:space="preserve">, </w:t>
      </w:r>
      <w:r w:rsidR="00FE6D04">
        <w:t xml:space="preserve"> </w:t>
      </w:r>
      <w:r>
        <w:t xml:space="preserve">a ballot </w:t>
      </w:r>
      <w:r w:rsidR="00C74A32">
        <w:t>via</w:t>
      </w:r>
      <w:r>
        <w:t xml:space="preserve"> handicap will occur and a relevant refund of entry fee will be provided</w:t>
      </w:r>
      <w:r w:rsidR="00B177AF">
        <w:t xml:space="preserve"> to any player who does not get a place in the field. </w:t>
      </w:r>
      <w:r>
        <w:t xml:space="preserve"> </w:t>
      </w:r>
    </w:p>
    <w:p w14:paraId="284F40B0" w14:textId="77777777" w:rsidR="00923439" w:rsidRPr="005F169C" w:rsidRDefault="00923439" w:rsidP="00923439">
      <w:pPr>
        <w:ind w:left="360"/>
        <w:rPr>
          <w:b/>
          <w:bCs/>
        </w:rPr>
      </w:pPr>
      <w:r w:rsidRPr="005F169C">
        <w:rPr>
          <w:b/>
          <w:bCs/>
        </w:rPr>
        <w:t>PLAY:</w:t>
      </w:r>
    </w:p>
    <w:p w14:paraId="1AD540B3" w14:textId="2024EE07" w:rsidR="00923439" w:rsidRDefault="00923439" w:rsidP="00923439">
      <w:pPr>
        <w:pStyle w:val="ListParagraph"/>
        <w:numPr>
          <w:ilvl w:val="0"/>
          <w:numId w:val="3"/>
        </w:numPr>
      </w:pPr>
      <w:r>
        <w:t>The Teams</w:t>
      </w:r>
      <w:r w:rsidR="005F169C">
        <w:t>’</w:t>
      </w:r>
      <w:r>
        <w:t xml:space="preserve"> Championship will be decided by 18-Hole Stroke play with the best two gross scores to count </w:t>
      </w:r>
      <w:r w:rsidR="005F169C">
        <w:t>for</w:t>
      </w:r>
      <w:r>
        <w:t xml:space="preserve"> each team. </w:t>
      </w:r>
    </w:p>
    <w:p w14:paraId="106F3AF8" w14:textId="2B42C4F0" w:rsidR="00923439" w:rsidRDefault="00923439" w:rsidP="00923439">
      <w:pPr>
        <w:pStyle w:val="ListParagraph"/>
        <w:numPr>
          <w:ilvl w:val="0"/>
          <w:numId w:val="3"/>
        </w:numPr>
      </w:pPr>
      <w:r>
        <w:t xml:space="preserve">There will also be a </w:t>
      </w:r>
      <w:r w:rsidR="007B45FF">
        <w:t>N</w:t>
      </w:r>
      <w:r>
        <w:t>ett teams</w:t>
      </w:r>
      <w:r w:rsidR="005F169C">
        <w:t>’</w:t>
      </w:r>
      <w:r>
        <w:t xml:space="preserve"> championship with the best two nett scores to count </w:t>
      </w:r>
      <w:r w:rsidR="005F169C">
        <w:t>for</w:t>
      </w:r>
      <w:r>
        <w:t xml:space="preserve"> each team.</w:t>
      </w:r>
    </w:p>
    <w:p w14:paraId="2EEC7D6F" w14:textId="77777777" w:rsidR="00923439" w:rsidRDefault="00923439" w:rsidP="00923439">
      <w:pPr>
        <w:pStyle w:val="ListParagraph"/>
        <w:numPr>
          <w:ilvl w:val="0"/>
          <w:numId w:val="3"/>
        </w:numPr>
      </w:pPr>
      <w:r>
        <w:t xml:space="preserve">The Individual Championship will be decided by Gross Stroke play for both Boys and Girls. </w:t>
      </w:r>
    </w:p>
    <w:p w14:paraId="2B3970A9" w14:textId="75F3EEE3" w:rsidR="005F169C" w:rsidRDefault="00C74A32" w:rsidP="00923439">
      <w:pPr>
        <w:pStyle w:val="ListParagraph"/>
        <w:numPr>
          <w:ilvl w:val="0"/>
          <w:numId w:val="3"/>
        </w:numPr>
      </w:pPr>
      <w:r>
        <w:t>I</w:t>
      </w:r>
      <w:r w:rsidR="007B45FF">
        <w:t>ndividual</w:t>
      </w:r>
      <w:r w:rsidR="005F169C">
        <w:t xml:space="preserve"> gross and nett winner </w:t>
      </w:r>
      <w:r w:rsidR="007B45FF">
        <w:t xml:space="preserve">and runner-up  medals </w:t>
      </w:r>
      <w:r w:rsidR="005F169C">
        <w:t>will be awarded in the following year divisions</w:t>
      </w:r>
    </w:p>
    <w:p w14:paraId="04EAF88C" w14:textId="100760C8" w:rsidR="005F169C" w:rsidRDefault="005F169C" w:rsidP="005F169C">
      <w:pPr>
        <w:pStyle w:val="ListParagraph"/>
        <w:numPr>
          <w:ilvl w:val="0"/>
          <w:numId w:val="8"/>
        </w:numPr>
      </w:pPr>
      <w:r>
        <w:t>Years 7 and 8</w:t>
      </w:r>
    </w:p>
    <w:p w14:paraId="78B60FA6" w14:textId="09046643" w:rsidR="005F169C" w:rsidRDefault="005F169C" w:rsidP="005F169C">
      <w:pPr>
        <w:pStyle w:val="ListParagraph"/>
        <w:numPr>
          <w:ilvl w:val="0"/>
          <w:numId w:val="8"/>
        </w:numPr>
      </w:pPr>
      <w:r>
        <w:t>Years 9 and 10</w:t>
      </w:r>
    </w:p>
    <w:p w14:paraId="552AD9E4" w14:textId="5061D8C4" w:rsidR="005F169C" w:rsidRDefault="005F169C" w:rsidP="005F169C">
      <w:pPr>
        <w:pStyle w:val="ListParagraph"/>
        <w:numPr>
          <w:ilvl w:val="0"/>
          <w:numId w:val="8"/>
        </w:numPr>
      </w:pPr>
      <w:r>
        <w:t>Years 11 and 12</w:t>
      </w:r>
    </w:p>
    <w:p w14:paraId="08CF066F" w14:textId="63E5AAE7" w:rsidR="00923439" w:rsidRDefault="00923439" w:rsidP="00923439">
      <w:pPr>
        <w:pStyle w:val="ListParagraph"/>
        <w:numPr>
          <w:ilvl w:val="0"/>
          <w:numId w:val="3"/>
        </w:numPr>
      </w:pPr>
      <w:r>
        <w:t xml:space="preserve">Boys will play off the Blue tees and girls will play off the Red tees or such other tees as the </w:t>
      </w:r>
      <w:r w:rsidR="00C74A32">
        <w:t>SSWA organisers</w:t>
      </w:r>
      <w:r>
        <w:t xml:space="preserve"> may decide. </w:t>
      </w:r>
    </w:p>
    <w:p w14:paraId="1C4C10D3" w14:textId="77777777" w:rsidR="00923439" w:rsidRPr="00FE6D04" w:rsidRDefault="00923439" w:rsidP="00923439">
      <w:pPr>
        <w:ind w:left="360"/>
        <w:rPr>
          <w:b/>
          <w:bCs/>
        </w:rPr>
      </w:pPr>
      <w:r w:rsidRPr="00FE6D04">
        <w:rPr>
          <w:b/>
          <w:bCs/>
        </w:rPr>
        <w:t>HANDICAP LIMIT :</w:t>
      </w:r>
    </w:p>
    <w:p w14:paraId="23E1C19C" w14:textId="784FC2BD" w:rsidR="00923439" w:rsidRDefault="00923439" w:rsidP="00923439">
      <w:pPr>
        <w:pStyle w:val="ListParagraph"/>
        <w:numPr>
          <w:ilvl w:val="0"/>
          <w:numId w:val="4"/>
        </w:numPr>
      </w:pPr>
      <w:r>
        <w:t xml:space="preserve">There is no handicap limit for players with an official GA Handicap, however,  the maximum playing handicaps allowable on the day </w:t>
      </w:r>
      <w:r w:rsidR="00C74A32">
        <w:t xml:space="preserve">(for nett purposes) </w:t>
      </w:r>
      <w:r>
        <w:t xml:space="preserve">will be 45 for girls and 36 for boys. </w:t>
      </w:r>
    </w:p>
    <w:p w14:paraId="2BE5ADD2" w14:textId="607C4EA3" w:rsidR="00923439" w:rsidRDefault="00923439" w:rsidP="00923439">
      <w:pPr>
        <w:pStyle w:val="ListParagraph"/>
        <w:numPr>
          <w:ilvl w:val="0"/>
          <w:numId w:val="4"/>
        </w:numPr>
      </w:pPr>
      <w:r>
        <w:t xml:space="preserve">In the event of a tie for any position, the Australian Count-back System will be applied using the leading two scores from each team. </w:t>
      </w:r>
    </w:p>
    <w:p w14:paraId="6EC4B311" w14:textId="77777777" w:rsidR="00923439" w:rsidRPr="00FE6D04" w:rsidRDefault="00923439" w:rsidP="00923439">
      <w:pPr>
        <w:ind w:left="360"/>
        <w:rPr>
          <w:b/>
          <w:bCs/>
        </w:rPr>
      </w:pPr>
      <w:r w:rsidRPr="00FE6D04">
        <w:rPr>
          <w:b/>
          <w:bCs/>
        </w:rPr>
        <w:t xml:space="preserve">PERPETUAL TROPHIES FOR THE SECONDARY SCHOOL TEAMS CHAMPIONSHIP </w:t>
      </w:r>
    </w:p>
    <w:p w14:paraId="6E3FAB07" w14:textId="2BD25C36" w:rsidR="00923439" w:rsidRDefault="00923439" w:rsidP="00923439">
      <w:pPr>
        <w:pStyle w:val="ListParagraph"/>
      </w:pPr>
      <w:r>
        <w:t>The team with the lowest aggregate gross  score (from the best two scores) will become the holder for one year of the "Western Australian School Teams</w:t>
      </w:r>
      <w:r w:rsidR="00B177AF">
        <w:t>’</w:t>
      </w:r>
      <w:r>
        <w:t xml:space="preserve"> Shield”. </w:t>
      </w:r>
    </w:p>
    <w:p w14:paraId="44E962C1" w14:textId="4560A69B" w:rsidR="00923439" w:rsidRPr="00FE6D04" w:rsidRDefault="00923439" w:rsidP="00923439">
      <w:pPr>
        <w:rPr>
          <w:b/>
          <w:bCs/>
        </w:rPr>
      </w:pPr>
      <w:r w:rsidRPr="00FE6D04">
        <w:rPr>
          <w:b/>
          <w:bCs/>
        </w:rPr>
        <w:t xml:space="preserve">       SCHOOL SPORT WA INTERSTATE TEAM</w:t>
      </w:r>
      <w:r w:rsidR="00FE6D04">
        <w:rPr>
          <w:b/>
          <w:bCs/>
        </w:rPr>
        <w:t xml:space="preserve"> 18 and Under </w:t>
      </w:r>
    </w:p>
    <w:p w14:paraId="480E8DB4" w14:textId="5B5015C0" w:rsidR="00923439" w:rsidRDefault="00923439" w:rsidP="00923439">
      <w:pPr>
        <w:ind w:left="720"/>
      </w:pPr>
      <w:r>
        <w:t>The tournament is not compulsory for players who have been selected for the School Sport WA Interstate Team to play in the School Sport Australia National Championships, however team members will be acknowledge</w:t>
      </w:r>
      <w:r w:rsidR="00FE6D04">
        <w:t>d</w:t>
      </w:r>
      <w:r>
        <w:t xml:space="preserve"> at presentations</w:t>
      </w:r>
      <w:r w:rsidR="00A9677D">
        <w:t xml:space="preserve"> should presentations be held. </w:t>
      </w:r>
    </w:p>
    <w:p w14:paraId="30833691" w14:textId="77777777" w:rsidR="00923439" w:rsidRPr="00FE6D04" w:rsidRDefault="00923439" w:rsidP="00923439">
      <w:pPr>
        <w:rPr>
          <w:b/>
          <w:bCs/>
        </w:rPr>
      </w:pPr>
      <w:r>
        <w:t xml:space="preserve">      </w:t>
      </w:r>
      <w:r w:rsidRPr="00FE6D04">
        <w:rPr>
          <w:b/>
          <w:bCs/>
        </w:rPr>
        <w:t>PLAYER CODE OF CONDUCT:</w:t>
      </w:r>
    </w:p>
    <w:p w14:paraId="1684B4F8" w14:textId="0A2F4DCF" w:rsidR="00923439" w:rsidRDefault="00923439" w:rsidP="00923439">
      <w:pPr>
        <w:pStyle w:val="ListParagraph"/>
      </w:pPr>
      <w:r>
        <w:t xml:space="preserve">All entrants assent to be bound by the Golf Western Australia Code of Conduct. A copy of the code is available on the Golf WA website </w:t>
      </w:r>
      <w:hyperlink r:id="rId6" w:history="1">
        <w:r w:rsidR="00FE6D04" w:rsidRPr="00000B5D">
          <w:rPr>
            <w:rStyle w:val="Hyperlink"/>
          </w:rPr>
          <w:t>www.golfwa.org.au</w:t>
        </w:r>
      </w:hyperlink>
      <w:r w:rsidR="00FE6D04">
        <w:t>.</w:t>
      </w:r>
    </w:p>
    <w:p w14:paraId="5DA0F380" w14:textId="77777777" w:rsidR="00923439" w:rsidRPr="00FE6D04" w:rsidRDefault="00923439" w:rsidP="00923439">
      <w:pPr>
        <w:rPr>
          <w:b/>
          <w:bCs/>
        </w:rPr>
      </w:pPr>
      <w:r w:rsidRPr="00FE6D04">
        <w:rPr>
          <w:b/>
          <w:bCs/>
        </w:rPr>
        <w:t xml:space="preserve">      GENERAL:</w:t>
      </w:r>
    </w:p>
    <w:p w14:paraId="008C5A4C" w14:textId="77777777" w:rsidR="00923439" w:rsidRDefault="00923439" w:rsidP="00923439">
      <w:pPr>
        <w:pStyle w:val="ListParagraph"/>
        <w:numPr>
          <w:ilvl w:val="0"/>
          <w:numId w:val="7"/>
        </w:numPr>
      </w:pPr>
      <w:r>
        <w:t xml:space="preserve">Entry implies acceptance of the Conditions of Play governing the Championship. These conform with Royal and Ancient rules governing amateur status. </w:t>
      </w:r>
    </w:p>
    <w:p w14:paraId="753C9A74" w14:textId="77777777" w:rsidR="005F169C" w:rsidRDefault="00923439" w:rsidP="00923439">
      <w:pPr>
        <w:pStyle w:val="ListParagraph"/>
        <w:numPr>
          <w:ilvl w:val="0"/>
          <w:numId w:val="7"/>
        </w:numPr>
      </w:pPr>
      <w:r>
        <w:t xml:space="preserve">No practice rounds are available prior to the event. </w:t>
      </w:r>
    </w:p>
    <w:p w14:paraId="57139768" w14:textId="77777777" w:rsidR="005F169C" w:rsidRDefault="005F169C" w:rsidP="00923439">
      <w:pPr>
        <w:pStyle w:val="ListParagraph"/>
        <w:numPr>
          <w:ilvl w:val="0"/>
          <w:numId w:val="7"/>
        </w:numPr>
      </w:pPr>
      <w:r w:rsidRPr="00A9677D">
        <w:rPr>
          <w:b/>
          <w:bCs/>
        </w:rPr>
        <w:t>NO</w:t>
      </w:r>
      <w:r>
        <w:t xml:space="preserve"> </w:t>
      </w:r>
      <w:r w:rsidR="00923439">
        <w:t xml:space="preserve">caddies are allowed at any stage of the competition. </w:t>
      </w:r>
    </w:p>
    <w:p w14:paraId="0D64FD5A" w14:textId="72BC8528" w:rsidR="005F169C" w:rsidRDefault="00923439" w:rsidP="005F169C">
      <w:pPr>
        <w:pStyle w:val="ListParagraph"/>
        <w:numPr>
          <w:ilvl w:val="0"/>
          <w:numId w:val="7"/>
        </w:numPr>
      </w:pPr>
      <w:r>
        <w:t xml:space="preserve">As per the School Sport </w:t>
      </w:r>
      <w:r w:rsidR="005F169C">
        <w:t>Australia</w:t>
      </w:r>
      <w:r>
        <w:t xml:space="preserve"> regulations, parents and spectators must </w:t>
      </w:r>
      <w:r w:rsidRPr="00A9677D">
        <w:rPr>
          <w:b/>
          <w:bCs/>
          <w:u w:val="single"/>
        </w:rPr>
        <w:t>remain 30 metres from play</w:t>
      </w:r>
      <w:r w:rsidR="005F169C" w:rsidRPr="00A9677D">
        <w:rPr>
          <w:b/>
          <w:bCs/>
          <w:u w:val="single"/>
        </w:rPr>
        <w:t xml:space="preserve"> at all times</w:t>
      </w:r>
      <w:r w:rsidR="005F169C">
        <w:t xml:space="preserve">. </w:t>
      </w:r>
      <w:r w:rsidR="00B177AF">
        <w:t>Spectators will be required to walk</w:t>
      </w:r>
      <w:r w:rsidR="005F169C">
        <w:t xml:space="preserve"> on the sides of fairways </w:t>
      </w:r>
      <w:r w:rsidR="005F169C" w:rsidRPr="00B177AF">
        <w:rPr>
          <w:u w:val="single"/>
        </w:rPr>
        <w:t xml:space="preserve">ahead </w:t>
      </w:r>
      <w:r w:rsidR="005F169C">
        <w:t xml:space="preserve">of the play. </w:t>
      </w:r>
    </w:p>
    <w:p w14:paraId="3AA6229A" w14:textId="0F164317" w:rsidR="005F169C" w:rsidRPr="00FE6D04" w:rsidRDefault="00A9677D" w:rsidP="00A9677D">
      <w:pPr>
        <w:rPr>
          <w:b/>
          <w:bCs/>
        </w:rPr>
      </w:pPr>
      <w:r>
        <w:rPr>
          <w:b/>
          <w:bCs/>
        </w:rPr>
        <w:t xml:space="preserve">       </w:t>
      </w:r>
      <w:r w:rsidR="00923439" w:rsidRPr="00FE6D04">
        <w:rPr>
          <w:b/>
          <w:bCs/>
        </w:rPr>
        <w:t xml:space="preserve">SUNSMART: </w:t>
      </w:r>
    </w:p>
    <w:p w14:paraId="0B104605" w14:textId="5A2B44BE" w:rsidR="00923439" w:rsidRDefault="00923439" w:rsidP="005F169C">
      <w:pPr>
        <w:ind w:left="360"/>
      </w:pPr>
      <w:r>
        <w:lastRenderedPageBreak/>
        <w:t>All players are to protect themselves against the sun, wear eye protection, hats, caps, sunscreen SPF 30+ and drink ample amounts of water to avoid</w:t>
      </w:r>
      <w:r w:rsidR="005F169C">
        <w:t xml:space="preserve"> dehydration.</w:t>
      </w:r>
    </w:p>
    <w:sectPr w:rsidR="00923439" w:rsidSect="00E643D0">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B1"/>
    <w:multiLevelType w:val="hybridMultilevel"/>
    <w:tmpl w:val="669CF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F05013"/>
    <w:multiLevelType w:val="hybridMultilevel"/>
    <w:tmpl w:val="32763DF4"/>
    <w:lvl w:ilvl="0" w:tplc="291A3A0C">
      <w:start w:val="1"/>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17485C"/>
    <w:multiLevelType w:val="hybridMultilevel"/>
    <w:tmpl w:val="0032C2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C53F10"/>
    <w:multiLevelType w:val="hybridMultilevel"/>
    <w:tmpl w:val="00D2B9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344FA5"/>
    <w:multiLevelType w:val="hybridMultilevel"/>
    <w:tmpl w:val="D0A28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660013"/>
    <w:multiLevelType w:val="hybridMultilevel"/>
    <w:tmpl w:val="D1ECE7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7D26E1"/>
    <w:multiLevelType w:val="hybridMultilevel"/>
    <w:tmpl w:val="A3A22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561774"/>
    <w:multiLevelType w:val="hybridMultilevel"/>
    <w:tmpl w:val="D0889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531217">
    <w:abstractNumId w:val="0"/>
  </w:num>
  <w:num w:numId="2" w16cid:durableId="45229671">
    <w:abstractNumId w:val="3"/>
  </w:num>
  <w:num w:numId="3" w16cid:durableId="1908689437">
    <w:abstractNumId w:val="2"/>
  </w:num>
  <w:num w:numId="4" w16cid:durableId="304555319">
    <w:abstractNumId w:val="4"/>
  </w:num>
  <w:num w:numId="5" w16cid:durableId="1086463990">
    <w:abstractNumId w:val="7"/>
  </w:num>
  <w:num w:numId="6" w16cid:durableId="1573201807">
    <w:abstractNumId w:val="6"/>
  </w:num>
  <w:num w:numId="7" w16cid:durableId="1872722237">
    <w:abstractNumId w:val="5"/>
  </w:num>
  <w:num w:numId="8" w16cid:durableId="140571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39"/>
    <w:rsid w:val="000273B3"/>
    <w:rsid w:val="00497CEC"/>
    <w:rsid w:val="005F169C"/>
    <w:rsid w:val="006C0955"/>
    <w:rsid w:val="007B45FF"/>
    <w:rsid w:val="00923439"/>
    <w:rsid w:val="0095731C"/>
    <w:rsid w:val="00A9677D"/>
    <w:rsid w:val="00AA7BB7"/>
    <w:rsid w:val="00B177AF"/>
    <w:rsid w:val="00C74A32"/>
    <w:rsid w:val="00CA0CC7"/>
    <w:rsid w:val="00E643D0"/>
    <w:rsid w:val="00F96E7B"/>
    <w:rsid w:val="00FE6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7AE0"/>
  <w15:chartTrackingRefBased/>
  <w15:docId w15:val="{3D4E435D-0E2A-4D9C-B17E-C1A82A7B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439"/>
    <w:rPr>
      <w:rFonts w:eastAsiaTheme="majorEastAsia" w:cstheme="majorBidi"/>
      <w:color w:val="272727" w:themeColor="text1" w:themeTint="D8"/>
    </w:rPr>
  </w:style>
  <w:style w:type="paragraph" w:styleId="Title">
    <w:name w:val="Title"/>
    <w:basedOn w:val="Normal"/>
    <w:next w:val="Normal"/>
    <w:link w:val="TitleChar"/>
    <w:uiPriority w:val="10"/>
    <w:qFormat/>
    <w:rsid w:val="00923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439"/>
    <w:pPr>
      <w:spacing w:before="160"/>
      <w:jc w:val="center"/>
    </w:pPr>
    <w:rPr>
      <w:i/>
      <w:iCs/>
      <w:color w:val="404040" w:themeColor="text1" w:themeTint="BF"/>
    </w:rPr>
  </w:style>
  <w:style w:type="character" w:customStyle="1" w:styleId="QuoteChar">
    <w:name w:val="Quote Char"/>
    <w:basedOn w:val="DefaultParagraphFont"/>
    <w:link w:val="Quote"/>
    <w:uiPriority w:val="29"/>
    <w:rsid w:val="00923439"/>
    <w:rPr>
      <w:i/>
      <w:iCs/>
      <w:color w:val="404040" w:themeColor="text1" w:themeTint="BF"/>
    </w:rPr>
  </w:style>
  <w:style w:type="paragraph" w:styleId="ListParagraph">
    <w:name w:val="List Paragraph"/>
    <w:basedOn w:val="Normal"/>
    <w:uiPriority w:val="34"/>
    <w:qFormat/>
    <w:rsid w:val="00923439"/>
    <w:pPr>
      <w:ind w:left="720"/>
      <w:contextualSpacing/>
    </w:pPr>
  </w:style>
  <w:style w:type="character" w:styleId="IntenseEmphasis">
    <w:name w:val="Intense Emphasis"/>
    <w:basedOn w:val="DefaultParagraphFont"/>
    <w:uiPriority w:val="21"/>
    <w:qFormat/>
    <w:rsid w:val="00923439"/>
    <w:rPr>
      <w:i/>
      <w:iCs/>
      <w:color w:val="0F4761" w:themeColor="accent1" w:themeShade="BF"/>
    </w:rPr>
  </w:style>
  <w:style w:type="paragraph" w:styleId="IntenseQuote">
    <w:name w:val="Intense Quote"/>
    <w:basedOn w:val="Normal"/>
    <w:next w:val="Normal"/>
    <w:link w:val="IntenseQuoteChar"/>
    <w:uiPriority w:val="30"/>
    <w:qFormat/>
    <w:rsid w:val="00923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439"/>
    <w:rPr>
      <w:i/>
      <w:iCs/>
      <w:color w:val="0F4761" w:themeColor="accent1" w:themeShade="BF"/>
    </w:rPr>
  </w:style>
  <w:style w:type="character" w:styleId="IntenseReference">
    <w:name w:val="Intense Reference"/>
    <w:basedOn w:val="DefaultParagraphFont"/>
    <w:uiPriority w:val="32"/>
    <w:qFormat/>
    <w:rsid w:val="00923439"/>
    <w:rPr>
      <w:b/>
      <w:bCs/>
      <w:smallCaps/>
      <w:color w:val="0F4761" w:themeColor="accent1" w:themeShade="BF"/>
      <w:spacing w:val="5"/>
    </w:rPr>
  </w:style>
  <w:style w:type="character" w:styleId="Hyperlink">
    <w:name w:val="Hyperlink"/>
    <w:basedOn w:val="DefaultParagraphFont"/>
    <w:uiPriority w:val="99"/>
    <w:unhideWhenUsed/>
    <w:rsid w:val="00FE6D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fwa.org.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Susan [Perth Modern School]</dc:creator>
  <cp:keywords/>
  <dc:description/>
  <cp:lastModifiedBy>Betim Ziba</cp:lastModifiedBy>
  <cp:revision>2</cp:revision>
  <cp:lastPrinted>2025-08-16T02:11:00Z</cp:lastPrinted>
  <dcterms:created xsi:type="dcterms:W3CDTF">2026-07-14T02:47:00Z</dcterms:created>
  <dcterms:modified xsi:type="dcterms:W3CDTF">2026-07-14T02:47:00Z</dcterms:modified>
</cp:coreProperties>
</file>